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590" w:rsidRDefault="00F03590">
      <w:pPr>
        <w:ind w:left="678" w:hanging="226"/>
        <w:jc w:val="both"/>
      </w:pPr>
      <w:bookmarkStart w:id="0" w:name="_GoBack"/>
      <w:bookmarkEnd w:id="0"/>
      <w:r>
        <w:rPr>
          <w:rFonts w:hint="eastAsia"/>
        </w:rPr>
        <w:t>○泉崎村観光誘客支援金交付要綱</w:t>
      </w:r>
    </w:p>
    <w:p w:rsidR="00F03590" w:rsidRDefault="00F03590">
      <w:pPr>
        <w:ind w:left="2260" w:right="678"/>
        <w:jc w:val="right"/>
      </w:pPr>
      <w:r>
        <w:rPr>
          <w:rFonts w:hint="eastAsia"/>
        </w:rPr>
        <w:t>令和４年３月２日訓令第５号</w:t>
      </w:r>
    </w:p>
    <w:p w:rsidR="00F03590" w:rsidRDefault="00F03590">
      <w:pPr>
        <w:ind w:left="678" w:right="904"/>
        <w:jc w:val="both"/>
      </w:pPr>
      <w:r>
        <w:rPr>
          <w:rFonts w:hint="eastAsia"/>
        </w:rPr>
        <w:t>泉崎村観光誘客支援金交付要綱</w:t>
      </w:r>
    </w:p>
    <w:p w:rsidR="00F03590" w:rsidRDefault="00F03590">
      <w:pPr>
        <w:ind w:left="226"/>
        <w:jc w:val="both"/>
      </w:pPr>
      <w:r>
        <w:rPr>
          <w:rFonts w:hint="eastAsia"/>
        </w:rPr>
        <w:t>（目的）</w:t>
      </w:r>
    </w:p>
    <w:p w:rsidR="00F03590" w:rsidRDefault="00F03590">
      <w:pPr>
        <w:ind w:left="226" w:hanging="226"/>
        <w:jc w:val="both"/>
      </w:pPr>
      <w:r>
        <w:rPr>
          <w:rFonts w:ascii="ＭＳ ゴシック" w:eastAsia="ＭＳ ゴシック" w:hAnsi="ＭＳ ゴシック" w:cs="ＭＳ ゴシック" w:hint="eastAsia"/>
        </w:rPr>
        <w:t>第１条</w:t>
      </w:r>
      <w:r>
        <w:rPr>
          <w:rFonts w:hint="eastAsia"/>
        </w:rPr>
        <w:t xml:space="preserve">　本村観光の復興及び観光誘客を図るため、村内の宿泊施設を対象とした旅行商品を販売する会社（以下「事業者」という。）に対し、泉崎村補助金等の交付等に関する規則（平成６年８月８日規則第８号。以下「規則」という。）に定めるもののほか必要な事項を定めるものとする。</w:t>
      </w:r>
    </w:p>
    <w:p w:rsidR="00F03590" w:rsidRDefault="00F03590">
      <w:pPr>
        <w:ind w:left="226"/>
        <w:jc w:val="both"/>
      </w:pPr>
      <w:r>
        <w:rPr>
          <w:rFonts w:hint="eastAsia"/>
        </w:rPr>
        <w:t>（対象事業）</w:t>
      </w:r>
    </w:p>
    <w:p w:rsidR="00F03590" w:rsidRDefault="00F03590">
      <w:pPr>
        <w:ind w:left="226" w:hanging="226"/>
        <w:jc w:val="both"/>
      </w:pPr>
      <w:r>
        <w:rPr>
          <w:rFonts w:ascii="ＭＳ ゴシック" w:eastAsia="ＭＳ ゴシック" w:hAnsi="ＭＳ ゴシック" w:cs="ＭＳ ゴシック" w:hint="eastAsia"/>
        </w:rPr>
        <w:t>第２条</w:t>
      </w:r>
      <w:r>
        <w:rPr>
          <w:rFonts w:hint="eastAsia"/>
        </w:rPr>
        <w:t xml:space="preserve">　事業者が支援金の交付を受ける事業（以下「本事業」という。）は、泉崎村内に宿泊する全ての旅行商品を対象とする。</w:t>
      </w:r>
    </w:p>
    <w:p w:rsidR="00F03590" w:rsidRDefault="00F03590">
      <w:pPr>
        <w:ind w:left="226"/>
        <w:jc w:val="both"/>
      </w:pPr>
      <w:r>
        <w:rPr>
          <w:rFonts w:hint="eastAsia"/>
        </w:rPr>
        <w:t>（支援金の額）</w:t>
      </w:r>
    </w:p>
    <w:p w:rsidR="00F03590" w:rsidRDefault="00F03590">
      <w:pPr>
        <w:ind w:left="226" w:hanging="226"/>
        <w:jc w:val="both"/>
      </w:pPr>
      <w:r>
        <w:rPr>
          <w:rFonts w:ascii="ＭＳ ゴシック" w:eastAsia="ＭＳ ゴシック" w:hAnsi="ＭＳ ゴシック" w:cs="ＭＳ ゴシック" w:hint="eastAsia"/>
        </w:rPr>
        <w:t>第３条</w:t>
      </w:r>
      <w:r>
        <w:rPr>
          <w:rFonts w:hint="eastAsia"/>
        </w:rPr>
        <w:t xml:space="preserve">　支援金の額は、小学生以上の有料宿泊実績１名に対して、次のとおりとする。</w:t>
      </w:r>
    </w:p>
    <w:p w:rsidR="00F03590" w:rsidRDefault="00F03590">
      <w:pPr>
        <w:ind w:left="452" w:hanging="226"/>
        <w:jc w:val="both"/>
      </w:pPr>
      <w:r>
        <w:t>(</w:t>
      </w:r>
      <w:r>
        <w:rPr>
          <w:rFonts w:hint="eastAsia"/>
        </w:rPr>
        <w:t>１</w:t>
      </w:r>
      <w:r>
        <w:t>)</w:t>
      </w:r>
      <w:r>
        <w:rPr>
          <w:rFonts w:hint="eastAsia"/>
        </w:rPr>
        <w:t xml:space="preserve">　平日期、週末期及び祝祭日の宿泊１泊分　</w:t>
      </w:r>
      <w:r>
        <w:t>500</w:t>
      </w:r>
      <w:r>
        <w:rPr>
          <w:rFonts w:hint="eastAsia"/>
        </w:rPr>
        <w:t>円</w:t>
      </w:r>
    </w:p>
    <w:p w:rsidR="00F03590" w:rsidRDefault="00F03590">
      <w:pPr>
        <w:ind w:left="452" w:hanging="226"/>
        <w:jc w:val="both"/>
      </w:pPr>
      <w:r>
        <w:t>(</w:t>
      </w:r>
      <w:r>
        <w:rPr>
          <w:rFonts w:hint="eastAsia"/>
        </w:rPr>
        <w:t>２</w:t>
      </w:r>
      <w:r>
        <w:t>)</w:t>
      </w:r>
      <w:r>
        <w:rPr>
          <w:rFonts w:hint="eastAsia"/>
        </w:rPr>
        <w:t xml:space="preserve">　同一施設にて２泊以上した場合は、施設を利用した宿泊日数分を対象として、１泊分　</w:t>
      </w:r>
      <w:r>
        <w:t>500</w:t>
      </w:r>
      <w:r>
        <w:rPr>
          <w:rFonts w:hint="eastAsia"/>
        </w:rPr>
        <w:t>円</w:t>
      </w:r>
    </w:p>
    <w:p w:rsidR="00F03590" w:rsidRDefault="00F03590">
      <w:pPr>
        <w:ind w:left="226"/>
        <w:jc w:val="both"/>
      </w:pPr>
      <w:r>
        <w:rPr>
          <w:rFonts w:hint="eastAsia"/>
        </w:rPr>
        <w:t>（支援金対象事業者）</w:t>
      </w:r>
    </w:p>
    <w:p w:rsidR="00F03590" w:rsidRDefault="00F03590">
      <w:pPr>
        <w:ind w:left="226" w:hanging="226"/>
        <w:jc w:val="both"/>
      </w:pPr>
      <w:r>
        <w:rPr>
          <w:rFonts w:ascii="ＭＳ ゴシック" w:eastAsia="ＭＳ ゴシック" w:hAnsi="ＭＳ ゴシック" w:cs="ＭＳ ゴシック" w:hint="eastAsia"/>
        </w:rPr>
        <w:t>第４条</w:t>
      </w:r>
      <w:r>
        <w:rPr>
          <w:rFonts w:hint="eastAsia"/>
        </w:rPr>
        <w:t xml:space="preserve">　観光庁又は都道府県の旅行業の登録を受けた事業者で本事業に参加申込みをした者とする。</w:t>
      </w:r>
    </w:p>
    <w:p w:rsidR="00F03590" w:rsidRDefault="00F03590">
      <w:pPr>
        <w:ind w:left="226"/>
        <w:jc w:val="both"/>
      </w:pPr>
      <w:r>
        <w:rPr>
          <w:rFonts w:hint="eastAsia"/>
        </w:rPr>
        <w:t>（参加事業者の登録）</w:t>
      </w:r>
    </w:p>
    <w:p w:rsidR="00F03590" w:rsidRDefault="00F03590">
      <w:pPr>
        <w:ind w:left="226" w:hanging="226"/>
        <w:jc w:val="both"/>
      </w:pPr>
      <w:r>
        <w:rPr>
          <w:rFonts w:ascii="ＭＳ ゴシック" w:eastAsia="ＭＳ ゴシック" w:hAnsi="ＭＳ ゴシック" w:cs="ＭＳ ゴシック" w:hint="eastAsia"/>
        </w:rPr>
        <w:t>第５条</w:t>
      </w:r>
      <w:r>
        <w:rPr>
          <w:rFonts w:hint="eastAsia"/>
        </w:rPr>
        <w:t xml:space="preserve">　本事業へ参加を希望する事業者は、泉崎村観光誘客支援金交付事業参加申込書（様式第１号）を村長に提出しなければならない。</w:t>
      </w:r>
    </w:p>
    <w:p w:rsidR="00F03590" w:rsidRDefault="00F03590">
      <w:pPr>
        <w:ind w:left="226"/>
        <w:jc w:val="both"/>
      </w:pPr>
      <w:r>
        <w:rPr>
          <w:rFonts w:hint="eastAsia"/>
        </w:rPr>
        <w:t>（支援金の交付申請）</w:t>
      </w:r>
    </w:p>
    <w:p w:rsidR="00F03590" w:rsidRDefault="00F03590">
      <w:pPr>
        <w:ind w:left="226" w:hanging="226"/>
        <w:jc w:val="both"/>
      </w:pPr>
      <w:r>
        <w:rPr>
          <w:rFonts w:ascii="ＭＳ ゴシック" w:eastAsia="ＭＳ ゴシック" w:hAnsi="ＭＳ ゴシック" w:cs="ＭＳ ゴシック" w:hint="eastAsia"/>
        </w:rPr>
        <w:t>第６条</w:t>
      </w:r>
      <w:r>
        <w:rPr>
          <w:rFonts w:hint="eastAsia"/>
        </w:rPr>
        <w:t xml:space="preserve">　前条の登録を受けた事業者が支援金の交付の申請をしようとするときは、泉崎村観光誘客支援金交付申請書（様式第２号。以下「交付申請書」という。）を村長に提出しなければならない。</w:t>
      </w:r>
    </w:p>
    <w:p w:rsidR="00F03590" w:rsidRDefault="00F03590">
      <w:pPr>
        <w:ind w:left="226" w:hanging="226"/>
        <w:jc w:val="both"/>
      </w:pPr>
      <w:r>
        <w:rPr>
          <w:rFonts w:hint="eastAsia"/>
        </w:rPr>
        <w:t>２　申請受付は、予算の範囲内で通年実施する。</w:t>
      </w:r>
    </w:p>
    <w:p w:rsidR="00F03590" w:rsidRDefault="00F03590">
      <w:pPr>
        <w:ind w:left="226"/>
        <w:jc w:val="both"/>
      </w:pPr>
      <w:r>
        <w:rPr>
          <w:rFonts w:hint="eastAsia"/>
        </w:rPr>
        <w:t>（交付の決定及び通知）</w:t>
      </w:r>
    </w:p>
    <w:p w:rsidR="00F03590" w:rsidRDefault="00F03590">
      <w:pPr>
        <w:ind w:left="226" w:hanging="226"/>
        <w:jc w:val="both"/>
      </w:pPr>
      <w:r>
        <w:rPr>
          <w:rFonts w:ascii="ＭＳ ゴシック" w:eastAsia="ＭＳ ゴシック" w:hAnsi="ＭＳ ゴシック" w:cs="ＭＳ ゴシック" w:hint="eastAsia"/>
        </w:rPr>
        <w:t>第７条</w:t>
      </w:r>
      <w:r>
        <w:rPr>
          <w:rFonts w:hint="eastAsia"/>
        </w:rPr>
        <w:t xml:space="preserve">　村長は、前条の規定より交付申請書の提出があった場合は、その内容を審査し、適正と認められるときは交付を決定し、泉崎村観光誘客支援金交付決定通知書（様式第</w:t>
      </w:r>
      <w:r>
        <w:rPr>
          <w:rFonts w:hint="eastAsia"/>
        </w:rPr>
        <w:lastRenderedPageBreak/>
        <w:t>３号）により速やかに事業者に通知するものとする。</w:t>
      </w:r>
    </w:p>
    <w:p w:rsidR="00F03590" w:rsidRDefault="00F03590">
      <w:pPr>
        <w:ind w:left="226"/>
        <w:jc w:val="both"/>
      </w:pPr>
      <w:r>
        <w:rPr>
          <w:rFonts w:hint="eastAsia"/>
        </w:rPr>
        <w:t>（変更の承認申請）</w:t>
      </w:r>
    </w:p>
    <w:p w:rsidR="00F03590" w:rsidRDefault="00F03590">
      <w:pPr>
        <w:ind w:left="226" w:hanging="226"/>
        <w:jc w:val="both"/>
      </w:pPr>
      <w:r>
        <w:rPr>
          <w:rFonts w:ascii="ＭＳ ゴシック" w:eastAsia="ＭＳ ゴシック" w:hAnsi="ＭＳ ゴシック" w:cs="ＭＳ ゴシック" w:hint="eastAsia"/>
        </w:rPr>
        <w:t>第８条</w:t>
      </w:r>
      <w:r>
        <w:rPr>
          <w:rFonts w:hint="eastAsia"/>
        </w:rPr>
        <w:t xml:space="preserve">　支援金の交付の決定を受けた事業者（以下「支援事業者」）は、第６条第１項の規定による交付申請書の記載内容に変更が生じたときは、泉崎村観光誘客支援金変更（中止）承認申請書（様式第４号。以下、「変更（中止）承認申請書」という。）を速やかに村長に提出しなければならない。</w:t>
      </w:r>
    </w:p>
    <w:p w:rsidR="00F03590" w:rsidRDefault="00F03590">
      <w:pPr>
        <w:ind w:left="226" w:hanging="226"/>
        <w:jc w:val="both"/>
      </w:pPr>
      <w:r>
        <w:rPr>
          <w:rFonts w:hint="eastAsia"/>
        </w:rPr>
        <w:t>２　村長は、前項の規定より変更（中止）承認申請書の提出があった場合には、その内容を審査し、適正と認められるときは変更を決定し、泉崎村観光誘客支援金変更（中止）決定通知書（様式第５号）により速やかに事業者に通知するものとする。</w:t>
      </w:r>
    </w:p>
    <w:p w:rsidR="00F03590" w:rsidRDefault="00F03590">
      <w:pPr>
        <w:ind w:left="226"/>
        <w:jc w:val="both"/>
      </w:pPr>
      <w:r>
        <w:rPr>
          <w:rFonts w:hint="eastAsia"/>
        </w:rPr>
        <w:t>（実績報告）</w:t>
      </w:r>
    </w:p>
    <w:p w:rsidR="00F03590" w:rsidRDefault="00F03590">
      <w:pPr>
        <w:ind w:left="226" w:hanging="226"/>
        <w:jc w:val="both"/>
      </w:pPr>
      <w:r>
        <w:rPr>
          <w:rFonts w:ascii="ＭＳ ゴシック" w:eastAsia="ＭＳ ゴシック" w:hAnsi="ＭＳ ゴシック" w:cs="ＭＳ ゴシック" w:hint="eastAsia"/>
        </w:rPr>
        <w:t>第９条</w:t>
      </w:r>
      <w:r>
        <w:rPr>
          <w:rFonts w:hint="eastAsia"/>
        </w:rPr>
        <w:t xml:space="preserve">　支援事業者は、一月ごとの実績を泉崎村観光誘客支援金実績報告書（様式第６号。以下「実績報告書」という。）により翌月</w:t>
      </w:r>
      <w:r>
        <w:t>10</w:t>
      </w:r>
      <w:r>
        <w:rPr>
          <w:rFonts w:hint="eastAsia"/>
        </w:rPr>
        <w:t>日までに村長に報告しなければならない。</w:t>
      </w:r>
    </w:p>
    <w:p w:rsidR="00F03590" w:rsidRDefault="00F03590">
      <w:pPr>
        <w:ind w:left="226" w:hanging="226"/>
        <w:jc w:val="both"/>
      </w:pPr>
      <w:r>
        <w:rPr>
          <w:rFonts w:hint="eastAsia"/>
        </w:rPr>
        <w:t>２　村長は、前項の規定による報告を受けた場合においては、当該報告に係る書類審査及び必要に応じて行う現地調査により当該事業の成果が交付決定の内容に適合すると認めるときは、交付すべき補助金等の額を確定し、泉崎村観光誘客支援金交付に係る額確定通知（様式第７号）を事業者に通知するものとする。</w:t>
      </w:r>
    </w:p>
    <w:p w:rsidR="00F03590" w:rsidRDefault="00F03590">
      <w:pPr>
        <w:ind w:left="226"/>
        <w:jc w:val="both"/>
      </w:pPr>
      <w:r>
        <w:rPr>
          <w:rFonts w:hint="eastAsia"/>
        </w:rPr>
        <w:t>（支援金の請求）</w:t>
      </w:r>
    </w:p>
    <w:p w:rsidR="00F03590" w:rsidRDefault="00F03590">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支援事業者は、前条の実績報告書に併せて泉崎村観光誘客支援金請求書（様式第８号）を村長に提出しなければならない。</w:t>
      </w:r>
    </w:p>
    <w:p w:rsidR="00F03590" w:rsidRDefault="00F03590">
      <w:pPr>
        <w:ind w:left="226"/>
        <w:jc w:val="both"/>
      </w:pPr>
      <w:r>
        <w:rPr>
          <w:rFonts w:hint="eastAsia"/>
        </w:rPr>
        <w:t>（支援金の交付）</w:t>
      </w:r>
    </w:p>
    <w:p w:rsidR="00F03590" w:rsidRDefault="00F03590">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村長は、前条の規定による請求があった場合は、その内容を審査し適当と認めるときは、支援金を交付する。</w:t>
      </w:r>
    </w:p>
    <w:p w:rsidR="00F03590" w:rsidRDefault="00F03590">
      <w:pPr>
        <w:ind w:left="226" w:hanging="226"/>
        <w:jc w:val="both"/>
      </w:pPr>
      <w:r>
        <w:rPr>
          <w:rFonts w:hint="eastAsia"/>
        </w:rPr>
        <w:t>２　第８条の規定による変更承認申請をせず、実績額が交付決定額を上回った場合は、交付決定額を上限として支援金を交付する。</w:t>
      </w:r>
    </w:p>
    <w:p w:rsidR="00F03590" w:rsidRDefault="00F03590">
      <w:pPr>
        <w:ind w:left="226"/>
        <w:jc w:val="both"/>
      </w:pPr>
      <w:r>
        <w:rPr>
          <w:rFonts w:hint="eastAsia"/>
        </w:rPr>
        <w:t>（支援金の返還）</w:t>
      </w:r>
    </w:p>
    <w:p w:rsidR="00F03590" w:rsidRDefault="00F03590">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村長は、次の各号のいずれかに該当するときは、交付決定した支援金の全部又は一部を取り消すものとする。</w:t>
      </w:r>
    </w:p>
    <w:p w:rsidR="00F03590" w:rsidRDefault="00F03590">
      <w:pPr>
        <w:ind w:left="452" w:hanging="226"/>
        <w:jc w:val="both"/>
      </w:pPr>
      <w:r>
        <w:t>(</w:t>
      </w:r>
      <w:r>
        <w:rPr>
          <w:rFonts w:hint="eastAsia"/>
        </w:rPr>
        <w:t>１</w:t>
      </w:r>
      <w:r>
        <w:t>)</w:t>
      </w:r>
      <w:r>
        <w:rPr>
          <w:rFonts w:hint="eastAsia"/>
        </w:rPr>
        <w:t xml:space="preserve">　虚偽の申請又はその他不正行為により支援金の交付を受けたとき。</w:t>
      </w:r>
    </w:p>
    <w:p w:rsidR="00F03590" w:rsidRDefault="00F03590">
      <w:pPr>
        <w:ind w:left="452" w:hanging="226"/>
        <w:jc w:val="both"/>
      </w:pPr>
      <w:r>
        <w:t>(</w:t>
      </w:r>
      <w:r>
        <w:rPr>
          <w:rFonts w:hint="eastAsia"/>
        </w:rPr>
        <w:t>２</w:t>
      </w:r>
      <w:r>
        <w:t>)</w:t>
      </w:r>
      <w:r>
        <w:rPr>
          <w:rFonts w:hint="eastAsia"/>
        </w:rPr>
        <w:t xml:space="preserve">　天変地異を含むあらゆる理由により、本事業の実施要件を満たすことが不可能になったとき。</w:t>
      </w:r>
    </w:p>
    <w:p w:rsidR="00F03590" w:rsidRDefault="00F03590">
      <w:pPr>
        <w:ind w:left="452" w:hanging="226"/>
        <w:jc w:val="both"/>
      </w:pPr>
      <w:r>
        <w:lastRenderedPageBreak/>
        <w:t>(</w:t>
      </w:r>
      <w:r>
        <w:rPr>
          <w:rFonts w:hint="eastAsia"/>
        </w:rPr>
        <w:t>３</w:t>
      </w:r>
      <w:r>
        <w:t>)</w:t>
      </w:r>
      <w:r>
        <w:rPr>
          <w:rFonts w:hint="eastAsia"/>
        </w:rPr>
        <w:t xml:space="preserve">　その他、村長が相当の理由があると認めたとき。</w:t>
      </w:r>
    </w:p>
    <w:p w:rsidR="00F03590" w:rsidRDefault="00F03590">
      <w:pPr>
        <w:ind w:left="226" w:hanging="226"/>
        <w:jc w:val="both"/>
      </w:pPr>
      <w:r>
        <w:rPr>
          <w:rFonts w:hint="eastAsia"/>
        </w:rPr>
        <w:t>２　支援金の返還の請求を受けた者は、当該請求額を村長が指定する期限までに返還しなければならない。</w:t>
      </w:r>
    </w:p>
    <w:p w:rsidR="00F03590" w:rsidRDefault="00F03590">
      <w:pPr>
        <w:ind w:left="226"/>
        <w:jc w:val="both"/>
      </w:pPr>
      <w:r>
        <w:rPr>
          <w:rFonts w:hint="eastAsia"/>
        </w:rPr>
        <w:t>（会計帳簿等の整備）</w:t>
      </w:r>
    </w:p>
    <w:p w:rsidR="00F03590" w:rsidRDefault="00F03590">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支援事業者は、支援金に係る経理について収支の事実を明確にした証明書類を整理し、事業が完了した日の属する会計年度の翌年度から起算して５年間保存しなければならない。</w:t>
      </w:r>
    </w:p>
    <w:p w:rsidR="00F03590" w:rsidRDefault="00F03590">
      <w:pPr>
        <w:ind w:left="226"/>
        <w:jc w:val="both"/>
      </w:pPr>
      <w:r>
        <w:rPr>
          <w:rFonts w:hint="eastAsia"/>
        </w:rPr>
        <w:t>（補則）</w:t>
      </w:r>
    </w:p>
    <w:p w:rsidR="00F03590" w:rsidRDefault="00F03590">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14</w:t>
      </w:r>
      <w:r>
        <w:rPr>
          <w:rFonts w:ascii="ＭＳ ゴシック" w:eastAsia="ＭＳ ゴシック" w:hAnsi="ＭＳ ゴシック" w:cs="ＭＳ ゴシック" w:hint="eastAsia"/>
        </w:rPr>
        <w:t>条</w:t>
      </w:r>
      <w:r>
        <w:rPr>
          <w:rFonts w:hint="eastAsia"/>
        </w:rPr>
        <w:t xml:space="preserve">　この要綱に定めるもののほか必要な事項は、村長が別に定める。</w:t>
      </w:r>
    </w:p>
    <w:p w:rsidR="00F03590" w:rsidRDefault="00F03590">
      <w:pPr>
        <w:ind w:left="678"/>
        <w:jc w:val="both"/>
      </w:pPr>
      <w:r>
        <w:rPr>
          <w:rFonts w:ascii="ＭＳ ゴシック" w:eastAsia="ＭＳ ゴシック" w:hAnsi="ＭＳ ゴシック" w:cs="ＭＳ ゴシック" w:hint="eastAsia"/>
        </w:rPr>
        <w:t>附　則</w:t>
      </w:r>
    </w:p>
    <w:p w:rsidR="00F03590" w:rsidRDefault="00F03590">
      <w:pPr>
        <w:ind w:firstLine="226"/>
        <w:jc w:val="both"/>
      </w:pPr>
      <w:r>
        <w:rPr>
          <w:rFonts w:hint="eastAsia"/>
        </w:rPr>
        <w:t>この要綱は、令和４年４月１日から施行する。</w:t>
      </w:r>
    </w:p>
    <w:p w:rsidR="00F03590" w:rsidRDefault="001F7A79" w:rsidP="005321FC">
      <w:pPr>
        <w:jc w:val="both"/>
      </w:pPr>
      <w:r w:rsidRPr="00F460E2">
        <w:rPr>
          <w:noProof/>
        </w:rPr>
        <w:lastRenderedPageBreak/>
        <w:drawing>
          <wp:inline distT="0" distB="0" distL="0" distR="0">
            <wp:extent cx="5048250" cy="8020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0" cy="8020050"/>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343525" cy="7096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7096125"/>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343525" cy="4467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4467225"/>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372100" cy="5610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5610225"/>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343525" cy="60674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3525" cy="6067425"/>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086350" cy="6400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6400800"/>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200650" cy="79914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0650" cy="7991475"/>
                    </a:xfrm>
                    <a:prstGeom prst="rect">
                      <a:avLst/>
                    </a:prstGeom>
                    <a:noFill/>
                    <a:ln>
                      <a:noFill/>
                    </a:ln>
                  </pic:spPr>
                </pic:pic>
              </a:graphicData>
            </a:graphic>
          </wp:inline>
        </w:drawing>
      </w:r>
    </w:p>
    <w:p w:rsidR="00F03590" w:rsidRDefault="001F7A79">
      <w:pPr>
        <w:jc w:val="both"/>
      </w:pPr>
      <w:r w:rsidRPr="00F460E2">
        <w:rPr>
          <w:noProof/>
        </w:rPr>
        <w:lastRenderedPageBreak/>
        <w:drawing>
          <wp:inline distT="0" distB="0" distL="0" distR="0">
            <wp:extent cx="5391150" cy="37814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781425"/>
                    </a:xfrm>
                    <a:prstGeom prst="rect">
                      <a:avLst/>
                    </a:prstGeom>
                    <a:noFill/>
                    <a:ln>
                      <a:noFill/>
                    </a:ln>
                  </pic:spPr>
                </pic:pic>
              </a:graphicData>
            </a:graphic>
          </wp:inline>
        </w:drawing>
      </w:r>
    </w:p>
    <w:p w:rsidR="0073738F" w:rsidRDefault="0073738F">
      <w:pPr>
        <w:jc w:val="both"/>
      </w:pPr>
    </w:p>
    <w:p w:rsidR="00F03590" w:rsidRDefault="001F7A79">
      <w:pPr>
        <w:jc w:val="both"/>
      </w:pPr>
      <w:r w:rsidRPr="00F460E2">
        <w:rPr>
          <w:noProof/>
        </w:rPr>
        <w:lastRenderedPageBreak/>
        <w:drawing>
          <wp:inline distT="0" distB="0" distL="0" distR="0">
            <wp:extent cx="5343525" cy="42386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4238625"/>
                    </a:xfrm>
                    <a:prstGeom prst="rect">
                      <a:avLst/>
                    </a:prstGeom>
                    <a:noFill/>
                    <a:ln>
                      <a:noFill/>
                    </a:ln>
                  </pic:spPr>
                </pic:pic>
              </a:graphicData>
            </a:graphic>
          </wp:inline>
        </w:drawing>
      </w:r>
    </w:p>
    <w:sectPr w:rsidR="00F03590">
      <w:type w:val="continuous"/>
      <w:pgSz w:w="11906" w:h="16838"/>
      <w:pgMar w:top="1984" w:right="1417" w:bottom="1701" w:left="1417" w:header="720" w:footer="1401" w:gutter="0"/>
      <w:cols w:space="720"/>
      <w:noEndnote/>
      <w:docGrid w:type="linesAndChars" w:linePitch="438"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F7A79"/>
    <w:rsid w:val="004062DC"/>
    <w:rsid w:val="005321FC"/>
    <w:rsid w:val="0073738F"/>
    <w:rsid w:val="007A1F88"/>
    <w:rsid w:val="00A77B3E"/>
    <w:rsid w:val="00CA2A55"/>
    <w:rsid w:val="00F03590"/>
    <w:rsid w:val="00F460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83C825-4FA4-47DB-9722-B31A0750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if-honcho45</dc:creator>
  <cp:keywords/>
  <dc:description/>
  <cp:lastModifiedBy>if-honcho45</cp:lastModifiedBy>
  <cp:revision>2</cp:revision>
  <cp:lastPrinted>2022-06-04T02:16:00Z</cp:lastPrinted>
  <dcterms:created xsi:type="dcterms:W3CDTF">2022-06-04T02:22:00Z</dcterms:created>
  <dcterms:modified xsi:type="dcterms:W3CDTF">2022-06-04T02:22:00Z</dcterms:modified>
</cp:coreProperties>
</file>